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3667E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IFRIC 15: AGREEMENTS FOR THE CONSTRUCTION OF REAL ESTATE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IFRIC 15 standardises accounting practice across jurisdictions for the recognition of revenue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by real estate developers for sales of units, such as apartments or houses, 'off plan' – that is,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before construction is complete.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3667E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Fundamental issue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The fundamental issue is whether the developer is selling a product (goods) – the completed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apartment or house – or is selling a service – a construction service as a contractor engaged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by the buyer. Revenue from selling products is normally recognised at delivery. Revenue from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selling services is normally recognised on a percentage-of-completion basis as construction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progresses.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3667E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IAS 11 or IAS 18?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IFRIC 15 provides guidance on how to determine whether an agreement for the construction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of real estate is within the scope of IAS 11 Construction Contracts or IAS 18 Revenue and,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accordingly, when revenue from the construction should be recognised: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Symbol" w:hAnsi="Symbol" w:cs="Symbol"/>
          <w:color w:val="000000"/>
          <w:sz w:val="28"/>
          <w:szCs w:val="28"/>
        </w:rPr>
        <w:t></w:t>
      </w:r>
      <w:r w:rsidRPr="0023667E">
        <w:rPr>
          <w:rFonts w:ascii="Symbol" w:hAnsi="Symbol" w:cs="Symbol"/>
          <w:color w:val="000000"/>
          <w:sz w:val="28"/>
          <w:szCs w:val="28"/>
        </w:rPr>
        <w:t></w:t>
      </w:r>
      <w:r w:rsidRPr="0023667E">
        <w:rPr>
          <w:rFonts w:ascii="Arial Narrow" w:hAnsi="Arial Narrow" w:cs="Arial Narrow"/>
          <w:color w:val="000000"/>
          <w:sz w:val="28"/>
          <w:szCs w:val="28"/>
        </w:rPr>
        <w:t>An agreement for the construction of real estate is a construction contract within the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scope of IAS 11 only when the buyer is able to specify the major structural elements of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the design of the real estate before construction begins and/or specify major structural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changes once construction is in progress (whether it exercises that ability or not).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Symbol" w:hAnsi="Symbol" w:cs="Symbol"/>
          <w:color w:val="000000"/>
          <w:sz w:val="28"/>
          <w:szCs w:val="28"/>
        </w:rPr>
        <w:t></w:t>
      </w:r>
      <w:r w:rsidRPr="0023667E">
        <w:rPr>
          <w:rFonts w:ascii="Symbol" w:hAnsi="Symbol" w:cs="Symbol"/>
          <w:color w:val="000000"/>
          <w:sz w:val="28"/>
          <w:szCs w:val="28"/>
        </w:rPr>
        <w:t></w:t>
      </w:r>
      <w:r w:rsidRPr="0023667E">
        <w:rPr>
          <w:rFonts w:ascii="Arial Narrow" w:hAnsi="Arial Narrow" w:cs="Arial Narrow"/>
          <w:color w:val="000000"/>
          <w:sz w:val="28"/>
          <w:szCs w:val="28"/>
        </w:rPr>
        <w:t>If the buyer has that ability, IAS 11 applies.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Symbol" w:hAnsi="Symbol" w:cs="Symbol"/>
          <w:color w:val="000000"/>
          <w:sz w:val="28"/>
          <w:szCs w:val="28"/>
        </w:rPr>
        <w:t></w:t>
      </w:r>
      <w:r w:rsidRPr="0023667E">
        <w:rPr>
          <w:rFonts w:ascii="Symbol" w:hAnsi="Symbol" w:cs="Symbol"/>
          <w:color w:val="000000"/>
          <w:sz w:val="28"/>
          <w:szCs w:val="28"/>
        </w:rPr>
        <w:t></w:t>
      </w:r>
      <w:r w:rsidRPr="0023667E">
        <w:rPr>
          <w:rFonts w:ascii="Arial Narrow" w:hAnsi="Arial Narrow" w:cs="Arial Narrow"/>
          <w:color w:val="000000"/>
          <w:sz w:val="28"/>
          <w:szCs w:val="28"/>
        </w:rPr>
        <w:t>If the buyer does not have that ability, IAS 18 applies.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3667E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If IAS 11 applies, what is the accounting?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If IAS 11 applies, revenue is recognised on a percentage-of-completion basis provided that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reliable estimates of construction progress and future costs can be made.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3667E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If IAS 18 applies, service or goods?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Even if IAS 18 applies, the agreement may be to provide construction services rather than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goods. This would likely be the case, for instance, if the entity is not required to acquire and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supply construction materials. If the entity is required to provide services together with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construction materials in order to perform its contractual obligation to deliver real estate to the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buyer, the agreement is accounted for as the sale of goods under IAS 18.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3667E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Impact of IFRIC 15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The main expected change in practice is a shift for some entities from recognising revenue as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lastRenderedPageBreak/>
        <w:t>construction progresses to recognising revenue at a single time – at completion upon or after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delivery. Agreements that will be affected will be mainly those currently accounted for in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accordance with IAS 11 that do not meet the definition of a construction contract as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23667E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3667E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International Accounting Standards, International Financial Reporting Standards,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3667E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their interpretations and US GAAPs-An Overview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3667E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2.115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interpreted by the IFRIC and do not transfer to the buyer control and the significant risks and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rewards of ownership of the work in progress in its current state as construction progresses.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3667E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Effective Date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IFRIC 15 is effective for annual periods beginning on or after 1 January 2009 and must be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applied retrospectively. Earlier application is permitted.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3667E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7.12 IFRIC 16: HEDGES OF A NET INVESTMENT IN A FOREIGN OPERATION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IFRIC 16 clarifies three main issues: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3667E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Whether risk arises from (a) the foreign currency exposure to the functional currencies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3667E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of the foreign operation and the parent entity, or from (b) the foreign currency exposure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3667E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to the functional currency of the foreign operation and the presentation currency of the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3667E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parent entity's consolidated financial statements.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IFRIC 16 concludes that the presentation currency does not create an exposure to which an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entity may apply hedge accounting. Consequently, a parent entity may designate as a hedged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risk only the foreign exchange differences arising from a difference between its own functional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currency and that of its foreign operation.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3667E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Which entity within a group can hold a hedging instrument in a hedge of a net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3667E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investment in a foreign operation and in particular whether the parent entity holding the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3667E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net investment in a foreign operation must also hold the hedging instrument.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IFRIC 16 concludes that the hedging instrument(s) may be held by any entity or entities within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the group.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3667E">
        <w:rPr>
          <w:rFonts w:ascii="ArialNarrow,Bold" w:hAnsi="ArialNarrow,Bold" w:cs="ArialNarrow,Bold"/>
          <w:b/>
          <w:bCs/>
          <w:color w:val="000000"/>
          <w:sz w:val="28"/>
          <w:szCs w:val="28"/>
        </w:rPr>
        <w:lastRenderedPageBreak/>
        <w:t>How an entity should determine the amounts to be reclassified from equity to profit or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3667E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loss for both the hedging instrument and the hedged item when the entity disposes of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3667E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the investment.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IFRIC 16 concludes that while IAS 39 must be applied to determine the amount that needs to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be reclassified to profit or loss from the foreign currency translation reserve in respect of the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hedging instrument, IAS 21 must be applied in respect of the hedged item.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3667E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Effective Date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IFRIC 16 is effective for annual periods beginning on or after 1 October 2008. An entity may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choose to apply IFRIC 16 retrospectively or prospectively. Earlier application is permitted.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On 16 April 2009 the IASB amended IFRIC 16 to allow entities to designate as a hedging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instrument in a net investment in a foreign operation an instrument that is held by the foreign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operation that is being hedged. Effective date is 1 July 2009. The amendment was part of the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IASB's annual improvements for 2009.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3667E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7.13 IFRIC 17: DISTRIBUTIONS OF NON-CASH ASSETS TO OWNERS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 xml:space="preserve">IFRIC 17 </w:t>
      </w:r>
      <w:r w:rsidRPr="0023667E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 xml:space="preserve">Distributions of Non-cash Assets to Owners </w:t>
      </w:r>
      <w:r w:rsidRPr="0023667E">
        <w:rPr>
          <w:rFonts w:ascii="Arial Narrow" w:hAnsi="Arial Narrow" w:cs="Arial Narrow"/>
          <w:color w:val="000000"/>
          <w:sz w:val="28"/>
          <w:szCs w:val="28"/>
        </w:rPr>
        <w:t>applies to the entity making the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distribution, not to the recipient. It applies when non-cash assets are distributed to owners or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when the owner is given a choice of taking cash in lieu of the non-cash assets.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23667E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3667E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2.116 Financial Reporting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IFRIC 17 clarifies that: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Symbol" w:hAnsi="Symbol" w:cs="Symbol"/>
          <w:color w:val="000000"/>
          <w:sz w:val="28"/>
          <w:szCs w:val="28"/>
        </w:rPr>
        <w:t></w:t>
      </w:r>
      <w:r w:rsidRPr="0023667E">
        <w:rPr>
          <w:rFonts w:ascii="Symbol" w:hAnsi="Symbol" w:cs="Symbol"/>
          <w:color w:val="000000"/>
          <w:sz w:val="28"/>
          <w:szCs w:val="28"/>
        </w:rPr>
        <w:t></w:t>
      </w:r>
      <w:r w:rsidRPr="0023667E">
        <w:rPr>
          <w:rFonts w:ascii="Arial Narrow" w:hAnsi="Arial Narrow" w:cs="Arial Narrow"/>
          <w:color w:val="000000"/>
          <w:sz w:val="28"/>
          <w:szCs w:val="28"/>
        </w:rPr>
        <w:t>a dividend payable should be recognised when the dividend is appropriately authorised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and is no longer at the discretion of the entity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Symbol" w:hAnsi="Symbol" w:cs="Symbol"/>
          <w:color w:val="000000"/>
          <w:sz w:val="28"/>
          <w:szCs w:val="28"/>
        </w:rPr>
        <w:t></w:t>
      </w:r>
      <w:r w:rsidRPr="0023667E">
        <w:rPr>
          <w:rFonts w:ascii="Symbol" w:hAnsi="Symbol" w:cs="Symbol"/>
          <w:color w:val="000000"/>
          <w:sz w:val="28"/>
          <w:szCs w:val="28"/>
        </w:rPr>
        <w:t></w:t>
      </w:r>
      <w:r w:rsidRPr="0023667E">
        <w:rPr>
          <w:rFonts w:ascii="Arial Narrow" w:hAnsi="Arial Narrow" w:cs="Arial Narrow"/>
          <w:color w:val="000000"/>
          <w:sz w:val="28"/>
          <w:szCs w:val="28"/>
        </w:rPr>
        <w:t>an entity should measure the dividend payable at the fair value of the net assets to be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distributed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Symbol" w:hAnsi="Symbol" w:cs="Symbol"/>
          <w:color w:val="000000"/>
          <w:sz w:val="28"/>
          <w:szCs w:val="28"/>
        </w:rPr>
        <w:t></w:t>
      </w:r>
      <w:r w:rsidRPr="0023667E">
        <w:rPr>
          <w:rFonts w:ascii="Symbol" w:hAnsi="Symbol" w:cs="Symbol"/>
          <w:color w:val="000000"/>
          <w:sz w:val="28"/>
          <w:szCs w:val="28"/>
        </w:rPr>
        <w:t></w:t>
      </w:r>
      <w:r w:rsidRPr="0023667E">
        <w:rPr>
          <w:rFonts w:ascii="Arial Narrow" w:hAnsi="Arial Narrow" w:cs="Arial Narrow"/>
          <w:color w:val="000000"/>
          <w:sz w:val="28"/>
          <w:szCs w:val="28"/>
        </w:rPr>
        <w:t>an entity should remeasure the liability at each reporting date and at settlement, with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changes recognised directly in equity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Symbol" w:hAnsi="Symbol" w:cs="Symbol"/>
          <w:color w:val="000000"/>
          <w:sz w:val="28"/>
          <w:szCs w:val="28"/>
        </w:rPr>
        <w:t></w:t>
      </w:r>
      <w:r w:rsidRPr="0023667E">
        <w:rPr>
          <w:rFonts w:ascii="Symbol" w:hAnsi="Symbol" w:cs="Symbol"/>
          <w:color w:val="000000"/>
          <w:sz w:val="28"/>
          <w:szCs w:val="28"/>
        </w:rPr>
        <w:t></w:t>
      </w:r>
      <w:r w:rsidRPr="0023667E">
        <w:rPr>
          <w:rFonts w:ascii="Arial Narrow" w:hAnsi="Arial Narrow" w:cs="Arial Narrow"/>
          <w:color w:val="000000"/>
          <w:sz w:val="28"/>
          <w:szCs w:val="28"/>
        </w:rPr>
        <w:t>an entity should recognise the difference between the dividend paid and the carrying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amount of the net assets distributed in profit or loss, and should disclose it separately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Symbol" w:hAnsi="Symbol" w:cs="Symbol"/>
          <w:color w:val="000000"/>
          <w:sz w:val="28"/>
          <w:szCs w:val="28"/>
        </w:rPr>
        <w:t></w:t>
      </w:r>
      <w:r w:rsidRPr="0023667E">
        <w:rPr>
          <w:rFonts w:ascii="Symbol" w:hAnsi="Symbol" w:cs="Symbol"/>
          <w:color w:val="000000"/>
          <w:sz w:val="28"/>
          <w:szCs w:val="28"/>
        </w:rPr>
        <w:t></w:t>
      </w:r>
      <w:r w:rsidRPr="0023667E">
        <w:rPr>
          <w:rFonts w:ascii="Arial Narrow" w:hAnsi="Arial Narrow" w:cs="Arial Narrow"/>
          <w:color w:val="000000"/>
          <w:sz w:val="28"/>
          <w:szCs w:val="28"/>
        </w:rPr>
        <w:t>an entity should provide additional disclosures if the net assets being held for distribution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to owners meet the definition of a discontinued operation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IFRIC 17 applies to pro rata distributions of non-cash assets (all owners are treated equally)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but does not apply to common control transactions.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3667E">
        <w:rPr>
          <w:rFonts w:ascii="ArialNarrow,Bold" w:hAnsi="ArialNarrow,Bold" w:cs="ArialNarrow,Bold"/>
          <w:b/>
          <w:bCs/>
          <w:color w:val="000000"/>
          <w:sz w:val="28"/>
          <w:szCs w:val="28"/>
        </w:rPr>
        <w:lastRenderedPageBreak/>
        <w:t>Effective Date and Transition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Symbol" w:hAnsi="Symbol" w:cs="Symbol"/>
          <w:color w:val="000000"/>
          <w:sz w:val="28"/>
          <w:szCs w:val="28"/>
        </w:rPr>
        <w:t></w:t>
      </w:r>
      <w:r w:rsidRPr="0023667E">
        <w:rPr>
          <w:rFonts w:ascii="Symbol" w:hAnsi="Symbol" w:cs="Symbol"/>
          <w:color w:val="000000"/>
          <w:sz w:val="28"/>
          <w:szCs w:val="28"/>
        </w:rPr>
        <w:t></w:t>
      </w:r>
      <w:r w:rsidRPr="0023667E">
        <w:rPr>
          <w:rFonts w:ascii="Arial Narrow" w:hAnsi="Arial Narrow" w:cs="Arial Narrow"/>
          <w:color w:val="000000"/>
          <w:sz w:val="28"/>
          <w:szCs w:val="28"/>
        </w:rPr>
        <w:t>IFRIC 17 is to be applied prospectively.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Symbol" w:hAnsi="Symbol" w:cs="Symbol"/>
          <w:color w:val="000000"/>
          <w:sz w:val="28"/>
          <w:szCs w:val="28"/>
        </w:rPr>
        <w:t></w:t>
      </w:r>
      <w:r w:rsidRPr="0023667E">
        <w:rPr>
          <w:rFonts w:ascii="Symbol" w:hAnsi="Symbol" w:cs="Symbol"/>
          <w:color w:val="000000"/>
          <w:sz w:val="28"/>
          <w:szCs w:val="28"/>
        </w:rPr>
        <w:t></w:t>
      </w:r>
      <w:r w:rsidRPr="0023667E">
        <w:rPr>
          <w:rFonts w:ascii="Arial Narrow" w:hAnsi="Arial Narrow" w:cs="Arial Narrow"/>
          <w:color w:val="000000"/>
          <w:sz w:val="28"/>
          <w:szCs w:val="28"/>
        </w:rPr>
        <w:t>IFRIC 17 is effective for annual periods beginning on or after 1 July 2009. Earlier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application is permitted, with some restrictions.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3667E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7.14 IFRIC 18: TRANSFERS OF ASSETS FROM CUSTOMERS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IFRIC 18 clarifies the requirements of IFRSs for agreements in which an entity receives from a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customer an item of property, plant, and equipment that the entity must then use either to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connect the customer to a network or to provide the customer with ongoing access to a supply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of goods or services (such as a supply of electricity, gas or water). In some cases, the entity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receives cash from a customer that must be used only to acquire or construct the item of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property, plant, and equipment in order to connect the customer to a network or provide the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customer with ongoing access to a supply of goods or services (or to do both).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The basic principle of IFRIC 18 is that when the item of property, plant and equipment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transferred from a customer meets the definition of an asset under the IASB Framework from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the perspective of the recipient, the recipient must recognise the asset in its financial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statements. If the customer continues to control the transferred item, the asset definition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would not be met even if ownership of the asset is transferred to the utility or other recipient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entity.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The deemed cost of that asset is its fair value on the date of the transfer.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If there are separately identifiable services received by the customer in exchange for the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transfer, then the recipient should split the transaction into separate components as required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by IAS 18. If there is only one component identified, revenue is recognised when the service is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performed (which could, for example, be as soon as access to a utility network is provided).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IFRIC 18 provides guidance on how to identify the entity's obligation to provide one or more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23667E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3667E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International Accounting Standards, International Financial Reporting Standards,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3667E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their interpretations and US GAAPs-An Overview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3667E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2.117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separately identifiable services in exchange for the transferred asset – and, therefore, how to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recognise revenue: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Symbol" w:hAnsi="Symbol" w:cs="Symbol"/>
          <w:color w:val="000000"/>
          <w:sz w:val="28"/>
          <w:szCs w:val="28"/>
        </w:rPr>
        <w:t></w:t>
      </w:r>
      <w:r w:rsidRPr="0023667E">
        <w:rPr>
          <w:rFonts w:ascii="Symbol" w:hAnsi="Symbol" w:cs="Symbol"/>
          <w:color w:val="000000"/>
          <w:sz w:val="28"/>
          <w:szCs w:val="28"/>
        </w:rPr>
        <w:t></w:t>
      </w:r>
      <w:r w:rsidRPr="0023667E">
        <w:rPr>
          <w:rFonts w:ascii="Arial Narrow" w:hAnsi="Arial Narrow" w:cs="Arial Narrow"/>
          <w:color w:val="000000"/>
          <w:sz w:val="28"/>
          <w:szCs w:val="28"/>
        </w:rPr>
        <w:t>If the entity has only one service obligation, it would recognise revenue when the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service is performed.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Symbol" w:hAnsi="Symbol" w:cs="Symbol"/>
          <w:color w:val="000000"/>
          <w:sz w:val="28"/>
          <w:szCs w:val="28"/>
        </w:rPr>
        <w:t></w:t>
      </w:r>
      <w:r w:rsidRPr="0023667E">
        <w:rPr>
          <w:rFonts w:ascii="Symbol" w:hAnsi="Symbol" w:cs="Symbol"/>
          <w:color w:val="000000"/>
          <w:sz w:val="28"/>
          <w:szCs w:val="28"/>
        </w:rPr>
        <w:t></w:t>
      </w:r>
      <w:r w:rsidRPr="0023667E">
        <w:rPr>
          <w:rFonts w:ascii="Arial Narrow" w:hAnsi="Arial Narrow" w:cs="Arial Narrow"/>
          <w:color w:val="000000"/>
          <w:sz w:val="28"/>
          <w:szCs w:val="28"/>
        </w:rPr>
        <w:t>If the entity has more than one separately identifiable service obligation, it should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lastRenderedPageBreak/>
        <w:t>allocate the fair value of the total consideration received to each service and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recognise revenue from each service separately in accordance with IAS 18.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Symbol" w:hAnsi="Symbol" w:cs="Symbol"/>
          <w:color w:val="000000"/>
          <w:sz w:val="28"/>
          <w:szCs w:val="28"/>
        </w:rPr>
        <w:t></w:t>
      </w:r>
      <w:r w:rsidRPr="0023667E">
        <w:rPr>
          <w:rFonts w:ascii="Symbol" w:hAnsi="Symbol" w:cs="Symbol"/>
          <w:color w:val="000000"/>
          <w:sz w:val="28"/>
          <w:szCs w:val="28"/>
        </w:rPr>
        <w:t></w:t>
      </w:r>
      <w:r w:rsidRPr="0023667E">
        <w:rPr>
          <w:rFonts w:ascii="Arial Narrow" w:hAnsi="Arial Narrow" w:cs="Arial Narrow"/>
          <w:color w:val="000000"/>
          <w:sz w:val="28"/>
          <w:szCs w:val="28"/>
        </w:rPr>
        <w:t>If the entity has an obligation to provide ongoing services, the period over which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revenue is recognised is generally determined by the terms of the agreement with the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customer. If the agreement does not specify a period, the revenue shall be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recognised over a period no longer than the useful life of the transferred asset used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to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Symbol" w:hAnsi="Symbol" w:cs="Symbol"/>
          <w:color w:val="000000"/>
          <w:sz w:val="28"/>
          <w:szCs w:val="28"/>
        </w:rPr>
        <w:t></w:t>
      </w:r>
      <w:r w:rsidRPr="0023667E">
        <w:rPr>
          <w:rFonts w:ascii="Symbol" w:hAnsi="Symbol" w:cs="Symbol"/>
          <w:color w:val="000000"/>
          <w:sz w:val="28"/>
          <w:szCs w:val="28"/>
        </w:rPr>
        <w:t></w:t>
      </w:r>
      <w:r w:rsidRPr="0023667E">
        <w:rPr>
          <w:rFonts w:ascii="Arial Narrow" w:hAnsi="Arial Narrow" w:cs="Arial Narrow"/>
          <w:color w:val="000000"/>
          <w:sz w:val="28"/>
          <w:szCs w:val="28"/>
        </w:rPr>
        <w:t>provide the ongoing service.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IFRIC 18 also provides guidance on how to account for transfers of cash from customers.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While IFRIC 18 is particularly relevant for entities in the utility sector, it applies to all entities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that prepare IFRS financial statements.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3667E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Effective Date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IFRIC 18 must be applied prospectively to transfers of assets from customers received on or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after 1 July 2009. Earlier application is permitted provided the valuations and other information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needed to apply to the Interpretation to past transfers were obtained at the time those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transfers were made.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3667E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7.15 IFRIC 19 EXTINGUISHING FINANCIAL LIABILITIES WITH EQUITY INSTRUMENTS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Symbol" w:hAnsi="Symbol" w:cs="Symbol"/>
          <w:color w:val="000000"/>
          <w:sz w:val="28"/>
          <w:szCs w:val="28"/>
        </w:rPr>
        <w:t></w:t>
      </w:r>
      <w:r w:rsidRPr="0023667E">
        <w:rPr>
          <w:rFonts w:ascii="Symbol" w:hAnsi="Symbol" w:cs="Symbol"/>
          <w:color w:val="000000"/>
          <w:sz w:val="28"/>
          <w:szCs w:val="28"/>
        </w:rPr>
        <w:t></w:t>
      </w:r>
      <w:r w:rsidRPr="0023667E">
        <w:rPr>
          <w:rFonts w:ascii="Arial Narrow" w:hAnsi="Arial Narrow" w:cs="Arial Narrow"/>
          <w:color w:val="000000"/>
          <w:sz w:val="28"/>
          <w:szCs w:val="28"/>
        </w:rPr>
        <w:t>If a debtor issues equity instruments to a creditor to extinguish all or part of a financial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liability, those equity instruments are 'consideration paid' in accordance with IAS 39.41.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Accordingly, the debtor should derecognise the financial liability fully or partly.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Symbol" w:hAnsi="Symbol" w:cs="Symbol"/>
          <w:color w:val="000000"/>
          <w:sz w:val="28"/>
          <w:szCs w:val="28"/>
        </w:rPr>
        <w:t></w:t>
      </w:r>
      <w:r w:rsidRPr="0023667E">
        <w:rPr>
          <w:rFonts w:ascii="Symbol" w:hAnsi="Symbol" w:cs="Symbol"/>
          <w:color w:val="000000"/>
          <w:sz w:val="28"/>
          <w:szCs w:val="28"/>
        </w:rPr>
        <w:t></w:t>
      </w:r>
      <w:r w:rsidRPr="0023667E">
        <w:rPr>
          <w:rFonts w:ascii="Arial Narrow" w:hAnsi="Arial Narrow" w:cs="Arial Narrow"/>
          <w:color w:val="000000"/>
          <w:sz w:val="28"/>
          <w:szCs w:val="28"/>
        </w:rPr>
        <w:t>The debtor should measure the equity instruments issued to the creditor at fair value,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unless fair value is not reliably determinable, in which case the equity instruments issued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are measured at the fair value of the liability extinguished.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Symbol" w:hAnsi="Symbol" w:cs="Symbol"/>
          <w:color w:val="000000"/>
          <w:sz w:val="28"/>
          <w:szCs w:val="28"/>
        </w:rPr>
        <w:t></w:t>
      </w:r>
      <w:r w:rsidRPr="0023667E">
        <w:rPr>
          <w:rFonts w:ascii="Symbol" w:hAnsi="Symbol" w:cs="Symbol"/>
          <w:color w:val="000000"/>
          <w:sz w:val="28"/>
          <w:szCs w:val="28"/>
        </w:rPr>
        <w:t></w:t>
      </w:r>
      <w:r w:rsidRPr="0023667E">
        <w:rPr>
          <w:rFonts w:ascii="Arial Narrow" w:hAnsi="Arial Narrow" w:cs="Arial Narrow"/>
          <w:color w:val="000000"/>
          <w:sz w:val="28"/>
          <w:szCs w:val="28"/>
        </w:rPr>
        <w:t>If only part of a liability is extinguished, the debtor must determine whether any part of the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consideration paid relates to modification of the terms of the remaining liability. If it does,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the debtor must allocate the fair value of the consideration paid between the liability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extinguished and the liability retained.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Symbol" w:hAnsi="Symbol" w:cs="Symbol"/>
          <w:color w:val="000000"/>
          <w:sz w:val="28"/>
          <w:szCs w:val="28"/>
        </w:rPr>
        <w:t></w:t>
      </w:r>
      <w:r w:rsidRPr="0023667E">
        <w:rPr>
          <w:rFonts w:ascii="Symbol" w:hAnsi="Symbol" w:cs="Symbol"/>
          <w:color w:val="000000"/>
          <w:sz w:val="28"/>
          <w:szCs w:val="28"/>
        </w:rPr>
        <w:t></w:t>
      </w:r>
      <w:r w:rsidRPr="0023667E">
        <w:rPr>
          <w:rFonts w:ascii="Arial Narrow" w:hAnsi="Arial Narrow" w:cs="Arial Narrow"/>
          <w:color w:val="000000"/>
          <w:sz w:val="28"/>
          <w:szCs w:val="28"/>
        </w:rPr>
        <w:t>The debtor recognises in profit or loss the difference between the carrying amount of the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financial liabiilty (or part) extinguished and the measurement of the equity instruments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issued.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Symbol" w:hAnsi="Symbol" w:cs="Symbol"/>
          <w:color w:val="000000"/>
          <w:sz w:val="28"/>
          <w:szCs w:val="28"/>
        </w:rPr>
        <w:t></w:t>
      </w:r>
      <w:r w:rsidRPr="0023667E">
        <w:rPr>
          <w:rFonts w:ascii="Symbol" w:hAnsi="Symbol" w:cs="Symbol"/>
          <w:color w:val="000000"/>
          <w:sz w:val="28"/>
          <w:szCs w:val="28"/>
        </w:rPr>
        <w:t></w:t>
      </w:r>
      <w:r w:rsidRPr="0023667E">
        <w:rPr>
          <w:rFonts w:ascii="Arial Narrow" w:hAnsi="Arial Narrow" w:cs="Arial Narrow"/>
          <w:color w:val="000000"/>
          <w:sz w:val="28"/>
          <w:szCs w:val="28"/>
        </w:rPr>
        <w:t>When only part of the liability is extinguished, the debtor must determine whether the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terms of the remaining debt have been substantially modified (taking into account any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portion of the consideration paid that was allocated to the remaining debt). If there has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23667E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3667E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2.118 Financial Reporting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been a substantial modification, the debtor should account for an extinguishment of the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lastRenderedPageBreak/>
        <w:t>old remaining liabiilty and the recognition of a new liability (see IAS 39.40).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IFRIC 19 addresses only the accounting by the entity that issues equity instruments in order to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settle, in full or in part, a financial liability. It does not address the accounting by the creditor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(lender).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The following situations are explicitly excluded from the scope of IFRIC 19: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Symbol" w:hAnsi="Symbol" w:cs="Symbol"/>
          <w:color w:val="000000"/>
          <w:sz w:val="28"/>
          <w:szCs w:val="28"/>
        </w:rPr>
        <w:t></w:t>
      </w:r>
      <w:r w:rsidRPr="0023667E">
        <w:rPr>
          <w:rFonts w:ascii="Symbol" w:hAnsi="Symbol" w:cs="Symbol"/>
          <w:color w:val="000000"/>
          <w:sz w:val="28"/>
          <w:szCs w:val="28"/>
        </w:rPr>
        <w:t></w:t>
      </w:r>
      <w:r w:rsidRPr="0023667E">
        <w:rPr>
          <w:rFonts w:ascii="Arial Narrow" w:hAnsi="Arial Narrow" w:cs="Arial Narrow"/>
          <w:color w:val="000000"/>
          <w:sz w:val="28"/>
          <w:szCs w:val="28"/>
        </w:rPr>
        <w:t>the creditor is also a direct or indirect shareholder and is acting in its capacity as direct or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indirect shareholder;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Symbol" w:hAnsi="Symbol" w:cs="Symbol"/>
          <w:color w:val="000000"/>
          <w:sz w:val="28"/>
          <w:szCs w:val="28"/>
        </w:rPr>
        <w:t></w:t>
      </w:r>
      <w:r w:rsidRPr="0023667E">
        <w:rPr>
          <w:rFonts w:ascii="Symbol" w:hAnsi="Symbol" w:cs="Symbol"/>
          <w:color w:val="000000"/>
          <w:sz w:val="28"/>
          <w:szCs w:val="28"/>
        </w:rPr>
        <w:t></w:t>
      </w:r>
      <w:r w:rsidRPr="0023667E">
        <w:rPr>
          <w:rFonts w:ascii="Arial Narrow" w:hAnsi="Arial Narrow" w:cs="Arial Narrow"/>
          <w:color w:val="000000"/>
          <w:sz w:val="28"/>
          <w:szCs w:val="28"/>
        </w:rPr>
        <w:t>the creditor and the entity are controlled by the same party or parties before and after the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transaction, and the substance of the transaction includes an equity distribution from, or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contribution to, the entity; or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Symbol" w:hAnsi="Symbol" w:cs="Symbol"/>
          <w:color w:val="000000"/>
          <w:sz w:val="28"/>
          <w:szCs w:val="28"/>
        </w:rPr>
        <w:t></w:t>
      </w:r>
      <w:r w:rsidRPr="0023667E">
        <w:rPr>
          <w:rFonts w:ascii="Symbol" w:hAnsi="Symbol" w:cs="Symbol"/>
          <w:color w:val="000000"/>
          <w:sz w:val="28"/>
          <w:szCs w:val="28"/>
        </w:rPr>
        <w:t></w:t>
      </w:r>
      <w:r w:rsidRPr="0023667E">
        <w:rPr>
          <w:rFonts w:ascii="Arial Narrow" w:hAnsi="Arial Narrow" w:cs="Arial Narrow"/>
          <w:color w:val="000000"/>
          <w:sz w:val="28"/>
          <w:szCs w:val="28"/>
        </w:rPr>
        <w:t>extinguishing the financial liability by issuing equity shares is in accordance with the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original terms of the financial liability.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IFRIC 19 must be applied in annual periods beginning on or after 1 July 2010. Earlier</w:t>
      </w:r>
    </w:p>
    <w:p w:rsidR="0023667E" w:rsidRPr="0023667E" w:rsidRDefault="0023667E" w:rsidP="0023667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application is permitted. It must be applied retrospectively from the beginning of the earliest</w:t>
      </w:r>
    </w:p>
    <w:p w:rsidR="00000000" w:rsidRDefault="0023667E" w:rsidP="0023667E">
      <w:pPr>
        <w:rPr>
          <w:rFonts w:ascii="Arial Narrow" w:hAnsi="Arial Narrow" w:cs="Arial Narrow"/>
          <w:color w:val="000000"/>
          <w:sz w:val="28"/>
          <w:szCs w:val="28"/>
        </w:rPr>
      </w:pPr>
      <w:r w:rsidRPr="0023667E">
        <w:rPr>
          <w:rFonts w:ascii="Arial Narrow" w:hAnsi="Arial Narrow" w:cs="Arial Narrow"/>
          <w:color w:val="000000"/>
          <w:sz w:val="28"/>
          <w:szCs w:val="28"/>
        </w:rPr>
        <w:t>comparative period presented.</w:t>
      </w:r>
    </w:p>
    <w:p w:rsidR="0023667E" w:rsidRPr="0023667E" w:rsidRDefault="0023667E" w:rsidP="0023667E">
      <w:pPr>
        <w:rPr>
          <w:sz w:val="28"/>
          <w:szCs w:val="28"/>
        </w:rPr>
      </w:pPr>
    </w:p>
    <w:sectPr w:rsidR="0023667E" w:rsidRPr="002366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Narrow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Narrow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23667E"/>
    <w:rsid w:val="00236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1858</Words>
  <Characters>10596</Characters>
  <Application>Microsoft Office Word</Application>
  <DocSecurity>0</DocSecurity>
  <Lines>88</Lines>
  <Paragraphs>24</Paragraphs>
  <ScaleCrop>false</ScaleCrop>
  <Company/>
  <LinksUpToDate>false</LinksUpToDate>
  <CharactersWithSpaces>12430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Chintan Ghelani</dc:creator>
  <cp:keywords/>
  <dc:description/>
  <cp:lastModifiedBy>Chintan Ghelani</cp:lastModifiedBy>
  <cp:revision>2</cp:revision>
  <dcterms:created xsi:type="dcterms:W3CDTF">2011-02-02T15:07:00Z</dcterms:created>
  <dcterms:modified xsi:type="dcterms:W3CDTF">2011-02-02T15:10:00Z</dcterms:modified>
</cp:coreProperties>
</file>